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黑体" w:hAnsi="黑体" w:eastAsia="黑体" w:cs="黑体"/>
          <w:sz w:val="44"/>
          <w:szCs w:val="44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  <w:lang w:eastAsia="zh-CN"/>
        </w:rPr>
        <w:t>酒类行业自律自我承诺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书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760" w:firstLineChars="400"/>
        <w:textAlignment w:val="auto"/>
        <w:rPr>
          <w:rFonts w:hint="eastAsia" w:ascii="黑体" w:hAnsi="黑体" w:eastAsia="黑体" w:cs="黑体"/>
          <w:sz w:val="44"/>
          <w:szCs w:val="44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为规范酒类市场生产经营秩序，保护消费者合法权益，抵制制售“特供酒”“内供酒”等违法违规行为，维护党政机关和军队形象，保护贵州酱香型白酒原产地、主产区声誉，现作出如下承诺。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遵守法律法规，严格生产、营销管理制度，认真履行企业主体责任，给消费者提供质量可靠、宣传可信的产品。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坚守高质量发展理念，严守酱香型白酒国家标准，建立食品安全员制度，坚决杜绝使用食用酒精生产“窜酒”冒充酱香型白酒销售。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不生产或接受委托生产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“特供酒”“内供酒”等违法违规白酒。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严格规范定制贴牌行为，不违法违规接受定制。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自觉规范“直播带货”等网络营销行为，杜绝虚假宣传、发布虚假广告，不卖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“特供酒”“内供酒”，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不虚标价格、不虚假交易。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承诺单位：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2024年 月 日</w:t>
      </w:r>
    </w:p>
    <w:p/>
    <w:sectPr>
      <w:headerReference r:id="rId3" w:type="default"/>
      <w:footerReference r:id="rId4" w:type="default"/>
      <w:pgSz w:w="11906" w:h="16838"/>
      <w:pgMar w:top="192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AEA99E"/>
    <w:multiLevelType w:val="singleLevel"/>
    <w:tmpl w:val="F6AEA99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xY2RhYmUwM2IwMmNhZDE3Mjc5OTc5Zjc5NzQ1M2YifQ=="/>
  </w:docVars>
  <w:rsids>
    <w:rsidRoot w:val="25FF3DF3"/>
    <w:rsid w:val="25FF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2024-08-02T03:33:00Z</dcterms:created>
  <dc:creator>WPS_1342504931</dc:creator>
  <cp:lastModifiedBy>WPS_1342504931</cp:lastModifiedBy>
  <dcterms:modified xsi:type="dcterms:W3CDTF">2024-08-02T03:34:08Z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C9C4345678A44CCEAB48809885E20F2B_11</vt:lpwstr>
  </property>
</Properties>
</file>